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440" w:lineRule="exact"/>
        <w:ind w:firstLine="321" w:firstLineChars="100"/>
        <w:jc w:val="center"/>
        <w:rPr>
          <w:rFonts w:hint="default" w:ascii="宋体" w:hAnsi="宋体"/>
          <w:b/>
          <w:bCs w:val="0"/>
          <w:color w:val="0D0D0D"/>
          <w:sz w:val="32"/>
          <w:szCs w:val="32"/>
          <w:lang w:val="en-US"/>
        </w:rPr>
      </w:pPr>
      <w:r>
        <w:rPr>
          <w:rFonts w:hint="eastAsia" w:ascii="宋体" w:hAnsi="宋体"/>
          <w:b/>
          <w:color w:val="0D0D0D"/>
          <w:sz w:val="32"/>
          <w:szCs w:val="32"/>
          <w:lang w:val="en-US" w:eastAsia="zh-CN"/>
        </w:rPr>
        <w:t>人文旅游学院</w:t>
      </w:r>
      <w:r>
        <w:rPr>
          <w:rFonts w:ascii="宋体" w:hAnsi="宋体"/>
          <w:b/>
          <w:color w:val="0D0D0D"/>
          <w:sz w:val="32"/>
          <w:szCs w:val="32"/>
        </w:rPr>
        <w:t>学前教育专业</w:t>
      </w:r>
      <w:r>
        <w:rPr>
          <w:rFonts w:hint="eastAsia" w:ascii="宋体" w:hAnsi="宋体"/>
          <w:b/>
          <w:color w:val="0D0D0D"/>
          <w:sz w:val="32"/>
          <w:szCs w:val="32"/>
          <w:lang w:val="en-US" w:eastAsia="zh-CN"/>
        </w:rPr>
        <w:t>优秀教育活动评选</w:t>
      </w:r>
    </w:p>
    <w:p>
      <w:pPr>
        <w:snapToGrid w:val="0"/>
        <w:spacing w:line="360" w:lineRule="auto"/>
        <w:ind w:firstLine="301" w:firstLineChars="100"/>
        <w:rPr>
          <w:rFonts w:ascii="Arial Narrow" w:hAnsi="Arial Narrow" w:eastAsia="仿宋_GB2312" w:cs="Arial"/>
          <w:b/>
          <w:color w:val="0D0D0D"/>
          <w:sz w:val="30"/>
          <w:szCs w:val="30"/>
        </w:rPr>
      </w:pPr>
      <w:r>
        <w:rPr>
          <w:rFonts w:ascii="Arial Narrow" w:hAnsi="Arial Narrow" w:eastAsia="仿宋_GB2312" w:cs="Arial"/>
          <w:b/>
          <w:color w:val="0D0D0D"/>
          <w:sz w:val="30"/>
          <w:szCs w:val="30"/>
        </w:rPr>
        <w:t>一、赛项名称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hint="default" w:ascii="仿宋_GB2312" w:hAnsi="宋体" w:eastAsia="仿宋_GB2312" w:cs="Arial"/>
          <w:color w:val="0D0D0D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人文旅游学院学前教育专业优秀教育活动评选</w:t>
      </w:r>
    </w:p>
    <w:p>
      <w:pPr>
        <w:snapToGrid w:val="0"/>
        <w:spacing w:line="460" w:lineRule="exact"/>
        <w:ind w:firstLine="301" w:firstLineChars="100"/>
        <w:rPr>
          <w:rFonts w:ascii="Arial Narrow" w:hAnsi="Arial Narrow" w:eastAsia="仿宋_GB2312" w:cs="Arial"/>
          <w:b/>
          <w:color w:val="0D0D0D"/>
          <w:sz w:val="30"/>
          <w:szCs w:val="30"/>
        </w:rPr>
      </w:pPr>
      <w:r>
        <w:rPr>
          <w:rFonts w:hint="eastAsia" w:ascii="Arial Narrow" w:hAnsi="Arial Narrow" w:eastAsia="仿宋_GB2312" w:cs="Arial"/>
          <w:b/>
          <w:color w:val="0D0D0D"/>
          <w:sz w:val="30"/>
          <w:szCs w:val="30"/>
        </w:rPr>
        <w:t>二</w:t>
      </w:r>
      <w:r>
        <w:rPr>
          <w:rFonts w:ascii="Arial Narrow" w:hAnsi="Arial Narrow" w:eastAsia="仿宋_GB2312" w:cs="Arial"/>
          <w:b/>
          <w:color w:val="0D0D0D"/>
          <w:sz w:val="30"/>
          <w:szCs w:val="30"/>
        </w:rPr>
        <w:t>、赛项目的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</w:rPr>
        <w:t>为贯彻《国家中长期教育改革和发展规划纲要》关于学前教育工作的重大部署，落实《国务院关于当前发展学前教育的若干意见》的实施，培养高素质专业化教师队伍，为学前教育改革与发展提供师资保障，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我院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</w:rPr>
        <w:t>决定联合举办“优秀教育活动评选”活动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60" w:lineRule="exact"/>
        <w:ind w:firstLine="280" w:firstLineChars="100"/>
        <w:jc w:val="left"/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三、</w:t>
      </w:r>
      <w:r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  <w:t>参赛对象</w:t>
      </w:r>
    </w:p>
    <w:p>
      <w:pPr>
        <w:numPr>
          <w:ilvl w:val="0"/>
          <w:numId w:val="0"/>
        </w:numPr>
        <w:snapToGrid w:val="0"/>
        <w:spacing w:line="460" w:lineRule="exact"/>
        <w:ind w:firstLine="590"/>
        <w:rPr>
          <w:rFonts w:hint="default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人文旅游学院学前教育专业18、19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学生</w:t>
      </w:r>
    </w:p>
    <w:p>
      <w:pPr>
        <w:numPr>
          <w:ilvl w:val="0"/>
          <w:numId w:val="0"/>
        </w:numPr>
        <w:snapToGrid w:val="0"/>
        <w:spacing w:line="460" w:lineRule="exact"/>
        <w:ind w:firstLine="301" w:firstLineChars="100"/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</w:pPr>
      <w:r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  <w:t>四、参赛时间</w:t>
      </w:r>
    </w:p>
    <w:p>
      <w:pPr>
        <w:numPr>
          <w:ilvl w:val="0"/>
          <w:numId w:val="0"/>
        </w:numPr>
        <w:snapToGrid w:val="0"/>
        <w:spacing w:line="460" w:lineRule="exact"/>
        <w:ind w:firstLine="59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2020年10月26日-2020年11月11日</w:t>
      </w:r>
    </w:p>
    <w:p>
      <w:pPr>
        <w:numPr>
          <w:ilvl w:val="0"/>
          <w:numId w:val="0"/>
        </w:numPr>
        <w:snapToGrid w:val="0"/>
        <w:spacing w:line="460" w:lineRule="exact"/>
        <w:ind w:firstLine="301" w:firstLineChars="100"/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</w:pPr>
      <w:r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  <w:t>五、参赛主题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default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作品围绕《幼儿园教育活动》主题，结合《幼儿园教育指导纲要（试行）》在健康、语言、社会、科学、艺术等五个领域开展的丰富多彩的教育活动，生动展现当前幼儿教育的发展方向、价值取向和时代特点。作品要反映出活动开展的具体过程，以在同一个单位时间内开展的教学活动为主，要求既要反映幼儿的兴趣和需要，又要体现一线幼教工作者的智慧。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ind w:leftChars="100" w:firstLine="301" w:firstLineChars="100"/>
        <w:jc w:val="left"/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</w:pPr>
      <w:r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  <w:t>六、参评作品及要求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1.教案——作品要求如下： 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（1）作品结合教学内容，围绕评选活动主题，体现对幼儿的教育教学过程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（2）作品具体内容包括：活动名称、幼儿年龄段（小、中、大班）、教学目标、教学重点、教学难点、教学准备、教学课时、教育理论依据、教学过程和评析等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（3）作品的字数在2000字以内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（4）作品必须是参评者自行制作且拥有完整的著作权或相关授权，如因作品侵犯第三方或主办方权益的，由参评者承担全部责任。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2.教学视频——作品要求如下： 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（1）作品应遵守国家相关法律法规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（2）展示教学实景、幼儿学习和师生互动等画面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（3）作品用摄像机、高清手机拍摄，并经过电脑或其它设备剪辑而成，拍摄时间在15-30分钟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（4）作品通过MP4视频格式上传，大小不超过300MB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（5）作品内容真实，拍摄清晰，编辑完整，表达流畅，必须使用普通话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（6）所有作品必须是参评者自行制作的，拥有独立的著作权和肖像权，并已取得作品中老师、儿童及其监护人的同意，因著作权、肖像权等引发的一切法律责任由参评者负责。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3.课件PPT——作品要求如下：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（1）课堂教学、教育教学管理过程中设计制作的课件，具有相对完整性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（2）课目录要简洁，对图片处理要注意效果，整体色调、风格应统一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（3）作品通过PowerPoint设计和制作，充分利用PPT的多媒体功能，表达完整精炼的教学内容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（4）参评课件必须以原创为基础，作者对引用借鉴部分版权负责。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4.说课稿——作品要求如下：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（1）依据幼儿年龄特点从幼儿园教材选定相关说课内容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（2）内容可涉及健康、语言、社会、科学、艺术五大领域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（3）从“说教材、说教法、说学法、说活动过程、说活动延伸”等主要方面阐述</w:t>
      </w: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（4）说课稿的字数要求在3000字以内。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default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60" w:lineRule="exact"/>
        <w:ind w:leftChars="100" w:firstLine="301" w:firstLineChars="100"/>
        <w:jc w:val="left"/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</w:pPr>
      <w:r>
        <w:rPr>
          <w:rFonts w:hint="eastAsia" w:ascii="Arial Narrow" w:hAnsi="Arial Narrow" w:eastAsia="仿宋_GB2312" w:cs="Arial"/>
          <w:b/>
          <w:color w:val="0D0D0D"/>
          <w:sz w:val="30"/>
          <w:szCs w:val="30"/>
          <w:lang w:val="en-US" w:eastAsia="zh-CN"/>
        </w:rPr>
        <w:t>七、注意事项</w:t>
      </w:r>
    </w:p>
    <w:p>
      <w:pPr>
        <w:numPr>
          <w:ilvl w:val="0"/>
          <w:numId w:val="0"/>
        </w:numPr>
        <w:snapToGrid w:val="0"/>
        <w:spacing w:line="460" w:lineRule="exact"/>
        <w:ind w:firstLine="280" w:firstLineChars="100"/>
        <w:rPr>
          <w:rFonts w:hint="default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Arial"/>
          <w:color w:val="0D0D0D"/>
          <w:kern w:val="0"/>
          <w:sz w:val="28"/>
          <w:szCs w:val="28"/>
          <w:lang w:val="en-US" w:eastAsia="zh-CN"/>
        </w:rPr>
        <w:t>本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次比赛提交作品需为个人原创，仅接受电子版文稿，将电子版</w:t>
      </w: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（</w:t>
      </w:r>
      <w:r>
        <w:rPr>
          <w:rFonts w:hint="eastAsia" w:ascii="仿宋_GB2312" w:hAnsi="宋体" w:cs="Arial"/>
          <w:color w:val="FF0000"/>
          <w:kern w:val="0"/>
          <w:sz w:val="28"/>
          <w:szCs w:val="28"/>
          <w:lang w:val="en-US" w:eastAsia="zh-CN"/>
        </w:rPr>
        <w:t>以</w:t>
      </w:r>
      <w:r>
        <w:rPr>
          <w:rFonts w:hint="eastAsia" w:ascii="仿宋_GB2312" w:hAnsi="宋体" w:eastAsia="仿宋_GB2312" w:cs="Arial"/>
          <w:color w:val="FF0000"/>
          <w:kern w:val="0"/>
          <w:sz w:val="28"/>
          <w:szCs w:val="28"/>
          <w:lang w:val="en-US" w:eastAsia="zh-CN"/>
        </w:rPr>
        <w:t>“班级+姓名+教案”命名）于11月11日前发到邮箱tkyxqfzzx@qq.com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。活动结束后，投稿被征用的品德分加</w:t>
      </w:r>
      <w:r>
        <w:rPr>
          <w:rFonts w:hint="eastAsia" w:ascii="仿宋_GB2312" w:hAnsi="宋体" w:eastAsia="仿宋_GB2312" w:cs="Arial"/>
          <w:color w:val="FF0000"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宋体" w:eastAsia="仿宋_GB2312" w:cs="Arial"/>
          <w:color w:val="0D0D0D"/>
          <w:kern w:val="0"/>
          <w:sz w:val="28"/>
          <w:szCs w:val="28"/>
          <w:lang w:val="en-US" w:eastAsia="zh-CN"/>
        </w:rPr>
        <w:t>分，指导老师会以短信方式通知并对选手加以培训。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0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3CCF"/>
    <w:rsid w:val="22F31E95"/>
    <w:rsid w:val="2B48414C"/>
    <w:rsid w:val="2B9F697F"/>
    <w:rsid w:val="37174E52"/>
    <w:rsid w:val="4DD03070"/>
    <w:rsid w:val="58642DE8"/>
    <w:rsid w:val="6F1E07F6"/>
    <w:rsid w:val="75B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1226</Characters>
  <Paragraphs>41</Paragraphs>
  <TotalTime>17</TotalTime>
  <ScaleCrop>false</ScaleCrop>
  <LinksUpToDate>false</LinksUpToDate>
  <CharactersWithSpaces>1228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2020-10-24T03:13:00Z</dcterms:created>
  <dc:creator>WSX_</dc:creator>
  <cp:lastModifiedBy>Okey</cp:lastModifiedBy>
  <dcterms:modified xsi:type="dcterms:W3CDTF">2020-10-27T11:58:39Z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